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46" w:rsidRPr="00D02D46" w:rsidRDefault="00D02D46" w:rsidP="00D02D46">
      <w:pPr>
        <w:jc w:val="center"/>
        <w:rPr>
          <w:b/>
          <w:sz w:val="28"/>
        </w:rPr>
      </w:pPr>
      <w:r w:rsidRPr="00D02D46">
        <w:rPr>
          <w:rFonts w:ascii="ＭＳ Ｐゴシック" w:eastAsia="ＭＳ Ｐゴシック" w:hAnsi="ＭＳ Ｐゴシック" w:hint="eastAsia"/>
          <w:b/>
          <w:sz w:val="28"/>
        </w:rPr>
        <w:t>SDGｓチェックシート</w:t>
      </w:r>
    </w:p>
    <w:p w:rsidR="00744B65" w:rsidRPr="00735AD4" w:rsidRDefault="00735AD4" w:rsidP="005E065A">
      <w:pPr>
        <w:jc w:val="left"/>
        <w:rPr>
          <w:rFonts w:ascii="ＭＳ Ｐゴシック" w:eastAsia="ＭＳ Ｐゴシック" w:hAnsi="ＭＳ Ｐゴシック"/>
          <w:sz w:val="24"/>
        </w:rPr>
      </w:pPr>
      <w:r>
        <w:rPr>
          <w:rFonts w:hint="eastAsia"/>
          <w:sz w:val="24"/>
        </w:rPr>
        <w:t xml:space="preserve">　</w:t>
      </w:r>
      <w:r w:rsidRPr="00735AD4">
        <w:rPr>
          <w:rFonts w:ascii="ＭＳ Ｐゴシック" w:eastAsia="ＭＳ Ｐゴシック" w:hAnsi="ＭＳ Ｐゴシック" w:hint="eastAsia"/>
          <w:sz w:val="24"/>
        </w:rPr>
        <w:t>軽井沢町は、社会的課題の解決と持続可能な地域づくりに向けて「SDGｓ日本モデル」宣言に賛同しています。申請事業</w:t>
      </w:r>
      <w:r>
        <w:rPr>
          <w:rFonts w:ascii="ＭＳ Ｐゴシック" w:eastAsia="ＭＳ Ｐゴシック" w:hAnsi="ＭＳ Ｐゴシック" w:hint="eastAsia"/>
          <w:sz w:val="24"/>
        </w:rPr>
        <w:t>について</w:t>
      </w:r>
      <w:r w:rsidR="005D2FF7">
        <w:rPr>
          <w:rFonts w:ascii="ＭＳ Ｐゴシック" w:eastAsia="ＭＳ Ｐゴシック" w:hAnsi="ＭＳ Ｐゴシック" w:hint="eastAsia"/>
          <w:sz w:val="24"/>
        </w:rPr>
        <w:t>、</w:t>
      </w:r>
      <w:r w:rsidR="005D2FF7" w:rsidRPr="00735AD4">
        <w:rPr>
          <w:rFonts w:ascii="ＭＳ Ｐゴシック" w:eastAsia="ＭＳ Ｐゴシック" w:hAnsi="ＭＳ Ｐゴシック" w:hint="eastAsia"/>
          <w:sz w:val="24"/>
        </w:rPr>
        <w:t>SDGｓ</w:t>
      </w:r>
      <w:r w:rsidR="00784CCB">
        <w:rPr>
          <w:rFonts w:ascii="ＭＳ Ｐゴシック" w:eastAsia="ＭＳ Ｐゴシック" w:hAnsi="ＭＳ Ｐゴシック" w:hint="eastAsia"/>
          <w:sz w:val="24"/>
        </w:rPr>
        <w:t>の17</w:t>
      </w:r>
      <w:r w:rsidR="005D2FF7" w:rsidRPr="00735AD4">
        <w:rPr>
          <w:rFonts w:ascii="ＭＳ Ｐゴシック" w:eastAsia="ＭＳ Ｐゴシック" w:hAnsi="ＭＳ Ｐゴシック" w:hint="eastAsia"/>
          <w:sz w:val="24"/>
        </w:rPr>
        <w:t>のゴール</w:t>
      </w:r>
      <w:r w:rsidRPr="00735AD4">
        <w:rPr>
          <w:rFonts w:ascii="ＭＳ Ｐゴシック" w:eastAsia="ＭＳ Ｐゴシック" w:hAnsi="ＭＳ Ｐゴシック" w:hint="eastAsia"/>
          <w:sz w:val="24"/>
        </w:rPr>
        <w:t>から該当するものを選択してください。</w:t>
      </w:r>
      <w:r w:rsidR="00DB4F6E">
        <w:rPr>
          <w:rFonts w:ascii="ＭＳ Ｐゴシック" w:eastAsia="ＭＳ Ｐゴシック" w:hAnsi="ＭＳ Ｐゴシック" w:hint="eastAsia"/>
          <w:sz w:val="24"/>
        </w:rPr>
        <w:t>（複数選択可）</w:t>
      </w:r>
    </w:p>
    <w:tbl>
      <w:tblPr>
        <w:tblStyle w:val="a7"/>
        <w:tblW w:w="8613" w:type="dxa"/>
        <w:tblLayout w:type="fixed"/>
        <w:tblLook w:val="04A0" w:firstRow="1" w:lastRow="0" w:firstColumn="1" w:lastColumn="0" w:noHBand="0" w:noVBand="1"/>
      </w:tblPr>
      <w:tblGrid>
        <w:gridCol w:w="2802"/>
        <w:gridCol w:w="4536"/>
        <w:gridCol w:w="1275"/>
      </w:tblGrid>
      <w:tr w:rsidR="00674B6E" w:rsidTr="00102066">
        <w:trPr>
          <w:trHeight w:val="316"/>
        </w:trPr>
        <w:tc>
          <w:tcPr>
            <w:tcW w:w="2802" w:type="dxa"/>
          </w:tcPr>
          <w:p w:rsidR="00674B6E" w:rsidRPr="00685018" w:rsidRDefault="00102066" w:rsidP="00685018">
            <w:pPr>
              <w:rPr>
                <w:rFonts w:ascii="ＭＳ Ｐゴシック" w:eastAsia="ＭＳ Ｐゴシック" w:hAnsi="ＭＳ Ｐゴシック"/>
              </w:rPr>
            </w:pPr>
            <w:r w:rsidRPr="00685018">
              <w:rPr>
                <w:rFonts w:ascii="ＭＳ Ｐゴシック" w:eastAsia="ＭＳ Ｐゴシック" w:hAnsi="ＭＳ Ｐゴシック" w:hint="eastAsia"/>
                <w:sz w:val="24"/>
              </w:rPr>
              <w:t xml:space="preserve">SDGｓ　</w:t>
            </w:r>
            <w:r w:rsidR="00685018" w:rsidRPr="00685018">
              <w:rPr>
                <w:rFonts w:ascii="ＭＳ Ｐゴシック" w:eastAsia="ＭＳ Ｐゴシック" w:hAnsi="ＭＳ Ｐゴシック" w:hint="eastAsia"/>
                <w:sz w:val="24"/>
              </w:rPr>
              <w:t>17の</w:t>
            </w:r>
            <w:r w:rsidRPr="00685018">
              <w:rPr>
                <w:rFonts w:ascii="ＭＳ Ｐゴシック" w:eastAsia="ＭＳ Ｐゴシック" w:hAnsi="ＭＳ Ｐゴシック" w:hint="eastAsia"/>
                <w:sz w:val="24"/>
              </w:rPr>
              <w:t>ゴール</w:t>
            </w:r>
          </w:p>
        </w:tc>
        <w:tc>
          <w:tcPr>
            <w:tcW w:w="4536" w:type="dxa"/>
          </w:tcPr>
          <w:p w:rsidR="00674B6E" w:rsidRPr="00685018" w:rsidRDefault="00685018" w:rsidP="00674B6E">
            <w:pPr>
              <w:pStyle w:val="Web"/>
              <w:spacing w:before="0" w:beforeAutospacing="0" w:after="0" w:afterAutospacing="0"/>
              <w:rPr>
                <w:rFonts w:ascii="Arial" w:hAnsi="Arial" w:cs="Arial"/>
                <w:color w:val="000000"/>
                <w:szCs w:val="22"/>
              </w:rPr>
            </w:pPr>
            <w:r w:rsidRPr="00685018">
              <w:rPr>
                <w:rFonts w:ascii="Arial" w:hAnsi="Arial" w:cs="Arial" w:hint="eastAsia"/>
                <w:color w:val="000000"/>
                <w:szCs w:val="22"/>
              </w:rPr>
              <w:t>＜目標＞</w:t>
            </w:r>
          </w:p>
        </w:tc>
        <w:tc>
          <w:tcPr>
            <w:tcW w:w="1275" w:type="dxa"/>
          </w:tcPr>
          <w:p w:rsidR="00674B6E" w:rsidRDefault="00685018" w:rsidP="00674B6E">
            <w:pPr>
              <w:pStyle w:val="Web"/>
              <w:spacing w:before="0" w:beforeAutospacing="0" w:after="0" w:afterAutospacing="0"/>
              <w:ind w:left="110" w:hangingChars="50" w:hanging="110"/>
              <w:rPr>
                <w:rFonts w:ascii="Arial" w:hAnsi="Arial" w:cs="Arial"/>
                <w:color w:val="000000"/>
                <w:sz w:val="22"/>
                <w:szCs w:val="22"/>
              </w:rPr>
            </w:pPr>
            <w:r>
              <w:rPr>
                <w:rFonts w:ascii="Arial" w:hAnsi="Arial" w:cs="Arial" w:hint="eastAsia"/>
                <w:color w:val="000000"/>
                <w:sz w:val="22"/>
                <w:szCs w:val="22"/>
              </w:rPr>
              <w:t>該当に〇</w:t>
            </w:r>
          </w:p>
        </w:tc>
      </w:tr>
      <w:tr w:rsidR="00102066" w:rsidTr="00FC4B69">
        <w:trPr>
          <w:trHeight w:val="1361"/>
        </w:trPr>
        <w:tc>
          <w:tcPr>
            <w:tcW w:w="2802" w:type="dxa"/>
          </w:tcPr>
          <w:p w:rsidR="00102066" w:rsidRDefault="00102066" w:rsidP="00102066">
            <w:pPr>
              <w:pStyle w:val="Web"/>
              <w:numPr>
                <w:ilvl w:val="0"/>
                <w:numId w:val="1"/>
              </w:numPr>
              <w:spacing w:before="0" w:beforeAutospacing="0" w:after="0" w:afterAutospacing="0"/>
              <w:rPr>
                <w:rFonts w:asciiTheme="majorEastAsia" w:eastAsiaTheme="majorEastAsia" w:hAnsiTheme="majorEastAsia" w:cs="Arial"/>
                <w:color w:val="000000"/>
                <w:sz w:val="22"/>
                <w:szCs w:val="22"/>
              </w:rPr>
            </w:pPr>
            <w:r w:rsidRPr="00383E9D">
              <w:rPr>
                <w:rFonts w:asciiTheme="majorEastAsia" w:eastAsiaTheme="majorEastAsia" w:hAnsiTheme="majorEastAsia" w:cs="Arial" w:hint="eastAsia"/>
                <w:color w:val="000000"/>
                <w:sz w:val="22"/>
                <w:szCs w:val="22"/>
              </w:rPr>
              <w:t>貧困</w:t>
            </w:r>
          </w:p>
          <w:p w:rsidR="00102066" w:rsidRPr="00383E9D" w:rsidRDefault="00102066" w:rsidP="00102066">
            <w:pPr>
              <w:pStyle w:val="Web"/>
              <w:spacing w:before="0" w:beforeAutospacing="0" w:after="0" w:afterAutospacing="0"/>
              <w:ind w:left="360"/>
              <w:rPr>
                <w:rFonts w:asciiTheme="majorEastAsia" w:eastAsiaTheme="majorEastAsia" w:hAnsiTheme="majorEastAsia" w:cs="Arial"/>
                <w:color w:val="000000"/>
                <w:sz w:val="22"/>
                <w:szCs w:val="22"/>
              </w:rPr>
            </w:pPr>
            <w:r>
              <w:rPr>
                <w:noProof/>
              </w:rPr>
              <w:drawing>
                <wp:inline distT="0" distB="0" distL="0" distR="0" wp14:anchorId="57EB670C" wp14:editId="7CDD1FE2">
                  <wp:extent cx="628560" cy="645120"/>
                  <wp:effectExtent l="0" t="0" r="0" b="0"/>
                  <wp:docPr id="2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102066" w:rsidRDefault="00102066"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あらゆる場所のあらゆる形態の貧困を終わらせる。</w:t>
            </w:r>
          </w:p>
        </w:tc>
        <w:tc>
          <w:tcPr>
            <w:tcW w:w="1275" w:type="dxa"/>
            <w:vAlign w:val="center"/>
          </w:tcPr>
          <w:p w:rsidR="00102066" w:rsidRPr="00FC4B69" w:rsidRDefault="00102066" w:rsidP="00FC4B69">
            <w:pPr>
              <w:pStyle w:val="Web"/>
              <w:spacing w:before="0" w:beforeAutospacing="0" w:after="0" w:afterAutospacing="0"/>
              <w:ind w:left="200" w:hangingChars="50" w:hanging="200"/>
              <w:jc w:val="center"/>
              <w:rPr>
                <w:rFonts w:ascii="Arial" w:hAnsi="Arial" w:cs="Arial"/>
                <w:color w:val="000000"/>
                <w:sz w:val="40"/>
                <w:szCs w:val="22"/>
              </w:rPr>
            </w:pPr>
          </w:p>
        </w:tc>
      </w:tr>
      <w:tr w:rsidR="00674B6E" w:rsidTr="00FC4B69">
        <w:trPr>
          <w:trHeight w:val="1361"/>
        </w:trPr>
        <w:tc>
          <w:tcPr>
            <w:tcW w:w="2802" w:type="dxa"/>
          </w:tcPr>
          <w:p w:rsidR="00674B6E" w:rsidRDefault="00674B6E" w:rsidP="00674B6E">
            <w:pPr>
              <w:pStyle w:val="Web"/>
              <w:numPr>
                <w:ilvl w:val="0"/>
                <w:numId w:val="1"/>
              </w:numPr>
              <w:spacing w:before="0" w:beforeAutospacing="0" w:after="0" w:afterAutospacing="0"/>
              <w:rPr>
                <w:rFonts w:asciiTheme="majorEastAsia" w:eastAsiaTheme="majorEastAsia" w:hAnsiTheme="majorEastAsia" w:cs="Arial"/>
                <w:color w:val="000000"/>
                <w:sz w:val="22"/>
                <w:szCs w:val="22"/>
              </w:rPr>
            </w:pPr>
            <w:r w:rsidRPr="00383E9D">
              <w:rPr>
                <w:rFonts w:asciiTheme="majorEastAsia" w:eastAsiaTheme="majorEastAsia" w:hAnsiTheme="majorEastAsia" w:cs="Arial" w:hint="eastAsia"/>
                <w:color w:val="000000"/>
                <w:sz w:val="22"/>
                <w:szCs w:val="22"/>
              </w:rPr>
              <w:t>飢餓</w:t>
            </w:r>
          </w:p>
          <w:p w:rsidR="00674B6E" w:rsidRPr="00383E9D" w:rsidRDefault="00674B6E" w:rsidP="00674B6E">
            <w:pPr>
              <w:pStyle w:val="Web"/>
              <w:spacing w:before="0" w:beforeAutospacing="0" w:after="0" w:afterAutospacing="0"/>
              <w:ind w:left="360"/>
              <w:rPr>
                <w:rFonts w:asciiTheme="majorEastAsia" w:eastAsiaTheme="majorEastAsia" w:hAnsiTheme="majorEastAsia" w:cs="Arial"/>
                <w:color w:val="000000"/>
                <w:sz w:val="22"/>
                <w:szCs w:val="22"/>
              </w:rPr>
            </w:pPr>
            <w:r>
              <w:rPr>
                <w:noProof/>
              </w:rPr>
              <w:drawing>
                <wp:inline distT="0" distB="0" distL="0" distR="0" wp14:anchorId="1264FA65" wp14:editId="46E6C1A5">
                  <wp:extent cx="628560" cy="645120"/>
                  <wp:effectExtent l="0" t="0" r="0" b="0"/>
                  <wp:docPr id="21"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674B6E" w:rsidRDefault="00674B6E"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飢餓を終わらせ、食糧安全保障および栄養改善を実現し、持続可能な農業を促進する。</w:t>
            </w:r>
          </w:p>
          <w:p w:rsidR="00102066" w:rsidRDefault="00102066" w:rsidP="00674B6E">
            <w:pPr>
              <w:pStyle w:val="Web"/>
              <w:spacing w:before="0" w:beforeAutospacing="0" w:after="0" w:afterAutospacing="0"/>
              <w:rPr>
                <w:rFonts w:ascii="Arial" w:hAnsi="Arial" w:cs="Arial"/>
                <w:color w:val="000000"/>
                <w:sz w:val="22"/>
                <w:szCs w:val="22"/>
              </w:rPr>
            </w:pPr>
          </w:p>
        </w:tc>
        <w:tc>
          <w:tcPr>
            <w:tcW w:w="1275" w:type="dxa"/>
            <w:vAlign w:val="center"/>
          </w:tcPr>
          <w:p w:rsidR="00674B6E" w:rsidRPr="00FC4B69" w:rsidRDefault="00674B6E" w:rsidP="00FC4B69">
            <w:pPr>
              <w:pStyle w:val="Web"/>
              <w:spacing w:before="0" w:beforeAutospacing="0" w:after="0" w:afterAutospacing="0"/>
              <w:ind w:left="200" w:hangingChars="50" w:hanging="200"/>
              <w:jc w:val="center"/>
              <w:rPr>
                <w:rFonts w:ascii="Arial" w:hAnsi="Arial" w:cs="Arial"/>
                <w:color w:val="000000"/>
                <w:sz w:val="40"/>
                <w:szCs w:val="22"/>
              </w:rPr>
            </w:pPr>
          </w:p>
        </w:tc>
      </w:tr>
      <w:tr w:rsidR="00674B6E" w:rsidTr="00FC4B69">
        <w:trPr>
          <w:trHeight w:val="1361"/>
        </w:trPr>
        <w:tc>
          <w:tcPr>
            <w:tcW w:w="2802" w:type="dxa"/>
          </w:tcPr>
          <w:p w:rsidR="00674B6E" w:rsidRDefault="00102066"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保健</w:t>
            </w:r>
          </w:p>
          <w:p w:rsidR="00102066" w:rsidRDefault="00102066" w:rsidP="00102066">
            <w:pPr>
              <w:pStyle w:val="Web"/>
              <w:spacing w:before="0" w:beforeAutospacing="0" w:after="0" w:afterAutospacing="0"/>
              <w:ind w:left="360"/>
              <w:rPr>
                <w:rFonts w:ascii="Arial" w:hAnsi="Arial" w:cs="Arial"/>
                <w:color w:val="000000"/>
                <w:sz w:val="22"/>
                <w:szCs w:val="22"/>
              </w:rPr>
            </w:pPr>
            <w:r>
              <w:rPr>
                <w:noProof/>
              </w:rPr>
              <w:drawing>
                <wp:inline distT="0" distB="0" distL="0" distR="0" wp14:anchorId="44504C46" wp14:editId="578AE781">
                  <wp:extent cx="628560" cy="645120"/>
                  <wp:effectExtent l="0" t="0" r="0" b="0"/>
                  <wp:docPr id="4"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674B6E" w:rsidRDefault="00102066"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あらゆる年齢のすべての人々の健康的な生活を確保し、福祉を促進する。</w:t>
            </w:r>
          </w:p>
        </w:tc>
        <w:tc>
          <w:tcPr>
            <w:tcW w:w="1275" w:type="dxa"/>
            <w:vAlign w:val="center"/>
          </w:tcPr>
          <w:p w:rsidR="00674B6E" w:rsidRPr="00FC4B69" w:rsidRDefault="00674B6E" w:rsidP="00FC4B69">
            <w:pPr>
              <w:pStyle w:val="Web"/>
              <w:spacing w:before="0" w:beforeAutospacing="0" w:after="0" w:afterAutospacing="0"/>
              <w:jc w:val="center"/>
              <w:rPr>
                <w:rFonts w:ascii="Arial" w:hAnsi="Arial" w:cs="Arial"/>
                <w:color w:val="000000"/>
                <w:sz w:val="40"/>
                <w:szCs w:val="22"/>
              </w:rPr>
            </w:pPr>
          </w:p>
        </w:tc>
      </w:tr>
      <w:tr w:rsidR="00674B6E" w:rsidTr="00FC4B69">
        <w:trPr>
          <w:trHeight w:val="1361"/>
        </w:trPr>
        <w:tc>
          <w:tcPr>
            <w:tcW w:w="2802" w:type="dxa"/>
          </w:tcPr>
          <w:p w:rsidR="00674B6E"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教育</w:t>
            </w:r>
          </w:p>
          <w:p w:rsidR="00674B6E" w:rsidRDefault="00674B6E" w:rsidP="00674B6E">
            <w:pPr>
              <w:pStyle w:val="Web"/>
              <w:spacing w:before="0" w:beforeAutospacing="0" w:after="0" w:afterAutospacing="0"/>
              <w:ind w:left="360"/>
              <w:rPr>
                <w:rFonts w:ascii="Arial" w:hAnsi="Arial" w:cs="Arial"/>
                <w:color w:val="000000"/>
                <w:sz w:val="22"/>
                <w:szCs w:val="22"/>
              </w:rPr>
            </w:pPr>
            <w:r>
              <w:rPr>
                <w:noProof/>
              </w:rPr>
              <w:drawing>
                <wp:inline distT="0" distB="0" distL="0" distR="0" wp14:anchorId="6CDBA161" wp14:editId="40CAF043">
                  <wp:extent cx="628560" cy="645120"/>
                  <wp:effectExtent l="0" t="0" r="0" b="0"/>
                  <wp:docPr id="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pic:cNvPicPr>
                            <a:picLocks noChangeAspect="1"/>
                          </pic:cNvPicPr>
                        </pic:nvPicPr>
                        <pic:blipFill rotWithShape="1">
                          <a:blip r:embed="rId11"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674B6E" w:rsidRDefault="00674B6E"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すべての人々への包括的なかつ公平な質の高い教育を提供し、生涯学習の機会を促進する。</w:t>
            </w:r>
          </w:p>
        </w:tc>
        <w:tc>
          <w:tcPr>
            <w:tcW w:w="1275" w:type="dxa"/>
            <w:vAlign w:val="center"/>
          </w:tcPr>
          <w:p w:rsidR="00674B6E" w:rsidRPr="00FC4B69" w:rsidRDefault="00674B6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ジェンダー</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65196920" wp14:editId="1AE2D5DB">
                  <wp:extent cx="628560" cy="645120"/>
                  <wp:effectExtent l="0" t="0" r="0" b="0"/>
                  <wp:docPr id="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ジェンダー平等を達成し、すべての女性および女子のエンパワーメントを行う。</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P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水・衛生</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3D43C0C0" wp14:editId="6B465CE4">
                  <wp:extent cx="628560" cy="645120"/>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13"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すべての人々の水と衛生の利用可能性と持続可能な現代的エネルギーへのアクセスを確保する。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エネルギー</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1A0DFF68" wp14:editId="260BF52D">
                  <wp:extent cx="628560" cy="645120"/>
                  <wp:effectExtent l="0" t="0" r="0" b="0"/>
                  <wp:docPr id="8"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pic:cNvPicPr>
                        </pic:nvPicPr>
                        <pic:blipFill rotWithShape="1">
                          <a:blip r:embed="rId14"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すべての人々の、安価かつ信頼できる持続可能な管理を確保する。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経済成長と雇用</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2A6991BE" wp14:editId="2F08F9DF">
                  <wp:extent cx="628560" cy="645120"/>
                  <wp:effectExtent l="0" t="0" r="0" b="0"/>
                  <wp:docPr id="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rotWithShape="1">
                          <a:blip r:embed="rId15"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包括的かつ持続可能な経済成長、およびすべての人々の安全かつ生産的な雇用とディーセント・ワーク（適切な雇用）を促進する。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1E02AF"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lastRenderedPageBreak/>
              <w:t>インフラ、産業課、</w:t>
            </w:r>
          </w:p>
          <w:p w:rsidR="00FC1A5B" w:rsidRDefault="001E02AF" w:rsidP="001E02AF">
            <w:pPr>
              <w:pStyle w:val="Web"/>
              <w:spacing w:before="0" w:beforeAutospacing="0" w:after="0" w:afterAutospacing="0"/>
              <w:ind w:left="360"/>
              <w:rPr>
                <w:rFonts w:ascii="Arial" w:hAnsi="Arial" w:cs="Arial"/>
                <w:color w:val="000000"/>
                <w:sz w:val="22"/>
                <w:szCs w:val="22"/>
              </w:rPr>
            </w:pPr>
            <w:r>
              <w:rPr>
                <w:rFonts w:ascii="Arial" w:hAnsi="Arial" w:cs="Arial" w:hint="eastAsia"/>
                <w:color w:val="000000"/>
                <w:sz w:val="22"/>
                <w:szCs w:val="22"/>
              </w:rPr>
              <w:t>イノベーション</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0CBB7F33" wp14:editId="100B6DBE">
                  <wp:extent cx="628560" cy="645120"/>
                  <wp:effectExtent l="0" t="0" r="0" b="0"/>
                  <wp:docPr id="1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pic:cNvPicPr>
                            <a:picLocks noChangeAspect="1"/>
                          </pic:cNvPicPr>
                        </pic:nvPicPr>
                        <pic:blipFill rotWithShape="1">
                          <a:blip r:embed="rId16"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レジリエントなインフラ構築、包括的かつ持続可能な産業化の促進、およびイノベーションの拡大を図る。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不平等</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00AE81E0" wp14:editId="41B912A4">
                  <wp:extent cx="628560" cy="645120"/>
                  <wp:effectExtent l="0" t="0" r="0" b="0"/>
                  <wp:docPr id="1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pic:cNvPicPr>
                            <a:picLocks noChangeAspect="1"/>
                          </pic:cNvPicPr>
                        </pic:nvPicPr>
                        <pic:blipFill rotWithShape="1">
                          <a:blip r:embed="rId17"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各国内および各国間の不平等を是正する。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1E02AF" w:rsidRPr="001E02AF" w:rsidRDefault="001E02AF" w:rsidP="001E02AF">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持続可能な都市</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28404EDD" wp14:editId="461E49B4">
                  <wp:extent cx="628560" cy="645120"/>
                  <wp:effectExtent l="0" t="0" r="0" b="0"/>
                  <wp:docPr id="1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rotWithShape="1">
                          <a:blip r:embed="rId18"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包括的で安全かつレジリエントで持続可能な都市および人間居住を実現する。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P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持続可能な生産と消費</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4F35BD05" wp14:editId="5BA15ADB">
                  <wp:extent cx="628560" cy="645120"/>
                  <wp:effectExtent l="0" t="0" r="0" b="0"/>
                  <wp:docPr id="13"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rotWithShape="1">
                          <a:blip r:embed="rId19"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持続可能な生産消費形態を確保する。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P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気候変動</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4F7E8862" wp14:editId="4442EDC5">
                  <wp:extent cx="628560" cy="645120"/>
                  <wp:effectExtent l="0" t="0" r="0" b="0"/>
                  <wp:docPr id="14"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0"/>
                          <pic:cNvPicPr>
                            <a:picLocks noChangeAspect="1"/>
                          </pic:cNvPicPr>
                        </pic:nvPicPr>
                        <pic:blipFill rotWithShape="1">
                          <a:blip r:embed="rId20"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気候変動およびその影響を軽減するための緊急対策を講じる。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P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海洋資源</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3844E342" wp14:editId="45CF3CE8">
                  <wp:extent cx="628560" cy="645120"/>
                  <wp:effectExtent l="0" t="0" r="0" b="0"/>
                  <wp:docPr id="15"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49"/>
                          <pic:cNvPicPr>
                            <a:picLocks noChangeAspect="1"/>
                          </pic:cNvPicPr>
                        </pic:nvPicPr>
                        <pic:blipFill rotWithShape="1">
                          <a:blip r:embed="rId21"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持続可能な開発のために海洋資源を保全し、持続的に利用する。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bookmarkStart w:id="0" w:name="_GoBack"/>
            <w:bookmarkEnd w:id="0"/>
          </w:p>
        </w:tc>
      </w:tr>
      <w:tr w:rsidR="0009355E" w:rsidTr="00FC4B69">
        <w:trPr>
          <w:trHeight w:val="1361"/>
        </w:trPr>
        <w:tc>
          <w:tcPr>
            <w:tcW w:w="2802" w:type="dxa"/>
          </w:tcPr>
          <w:p w:rsidR="00FC1A5B" w:rsidRP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陸上資源</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17AFCB50" wp14:editId="4E1781AC">
                  <wp:extent cx="628560" cy="645120"/>
                  <wp:effectExtent l="0" t="0" r="0" b="0"/>
                  <wp:docPr id="1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rotWithShape="1">
                          <a:blip r:embed="rId22"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陸域生態系の保護・回復・持続可能な利用の推進、森林の持続可能な管理、砂漠化への対処、ならびに土地の劣化の阻止・防止および生物多様性の損失の阻止を促進する。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P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平和</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5B2428B1" wp14:editId="153A07D6">
                  <wp:extent cx="628560" cy="645120"/>
                  <wp:effectExtent l="0" t="0" r="0" b="0"/>
                  <wp:docPr id="1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rotWithShape="1">
                          <a:blip r:embed="rId23"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持続可能な開発のための平和で包括的な社会の促進、すべての人々への司法へのアクセス提供、およびあらゆるレベルにおいて効果的で説明責任のある包括的な制度の構築を図る。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r w:rsidR="0009355E" w:rsidTr="00FC4B69">
        <w:trPr>
          <w:trHeight w:val="1361"/>
        </w:trPr>
        <w:tc>
          <w:tcPr>
            <w:tcW w:w="2802" w:type="dxa"/>
          </w:tcPr>
          <w:p w:rsidR="00FC1A5B" w:rsidRPr="00FC1A5B" w:rsidRDefault="001E02AF" w:rsidP="00674B6E">
            <w:pPr>
              <w:pStyle w:val="Web"/>
              <w:numPr>
                <w:ilvl w:val="0"/>
                <w:numId w:val="1"/>
              </w:numPr>
              <w:spacing w:before="0" w:beforeAutospacing="0" w:after="0" w:afterAutospacing="0"/>
              <w:rPr>
                <w:rFonts w:ascii="Arial" w:hAnsi="Arial" w:cs="Arial"/>
                <w:color w:val="000000"/>
                <w:sz w:val="22"/>
                <w:szCs w:val="22"/>
              </w:rPr>
            </w:pPr>
            <w:r>
              <w:rPr>
                <w:rFonts w:ascii="Arial" w:hAnsi="Arial" w:cs="Arial" w:hint="eastAsia"/>
                <w:color w:val="000000"/>
                <w:sz w:val="22"/>
                <w:szCs w:val="22"/>
              </w:rPr>
              <w:t>実施手段</w:t>
            </w:r>
          </w:p>
          <w:p w:rsidR="0009355E" w:rsidRDefault="00FC1A5B" w:rsidP="00FC1A5B">
            <w:pPr>
              <w:pStyle w:val="Web"/>
              <w:spacing w:before="0" w:beforeAutospacing="0" w:after="0" w:afterAutospacing="0"/>
              <w:ind w:left="360"/>
              <w:rPr>
                <w:rFonts w:ascii="Arial" w:hAnsi="Arial" w:cs="Arial"/>
                <w:color w:val="000000"/>
                <w:sz w:val="22"/>
                <w:szCs w:val="22"/>
              </w:rPr>
            </w:pPr>
            <w:r>
              <w:rPr>
                <w:noProof/>
              </w:rPr>
              <w:drawing>
                <wp:inline distT="0" distB="0" distL="0" distR="0" wp14:anchorId="5A4C4802" wp14:editId="3B73621F">
                  <wp:extent cx="628560" cy="645120"/>
                  <wp:effectExtent l="0" t="0" r="0" b="0"/>
                  <wp:docPr id="19"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pic:cNvPicPr>
                        </pic:nvPicPr>
                        <pic:blipFill rotWithShape="1">
                          <a:blip r:embed="rId24" cstate="email">
                            <a:extLst>
                              <a:ext uri="{28A0092B-C50C-407E-A947-70E740481C1C}">
                                <a14:useLocalDpi xmlns:a14="http://schemas.microsoft.com/office/drawing/2010/main"/>
                              </a:ext>
                            </a:extLst>
                          </a:blip>
                          <a:srcRect/>
                          <a:stretch/>
                        </pic:blipFill>
                        <pic:spPr>
                          <a:xfrm>
                            <a:off x="0" y="0"/>
                            <a:ext cx="628560" cy="645120"/>
                          </a:xfrm>
                          <a:prstGeom prst="rect">
                            <a:avLst/>
                          </a:prstGeom>
                        </pic:spPr>
                      </pic:pic>
                    </a:graphicData>
                  </a:graphic>
                </wp:inline>
              </w:drawing>
            </w:r>
          </w:p>
        </w:tc>
        <w:tc>
          <w:tcPr>
            <w:tcW w:w="4536" w:type="dxa"/>
          </w:tcPr>
          <w:p w:rsidR="0009355E" w:rsidRDefault="001E02AF" w:rsidP="00674B6E">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持続可能な開発のための実施手段の強化し、グローバル・パートナーシップを活性化する。</w:t>
            </w:r>
          </w:p>
        </w:tc>
        <w:tc>
          <w:tcPr>
            <w:tcW w:w="1275" w:type="dxa"/>
            <w:vAlign w:val="center"/>
          </w:tcPr>
          <w:p w:rsidR="0009355E" w:rsidRPr="00FC4B69" w:rsidRDefault="0009355E" w:rsidP="00FC4B69">
            <w:pPr>
              <w:pStyle w:val="Web"/>
              <w:spacing w:before="0" w:beforeAutospacing="0" w:after="0" w:afterAutospacing="0"/>
              <w:jc w:val="center"/>
              <w:rPr>
                <w:rFonts w:ascii="Arial" w:hAnsi="Arial" w:cs="Arial"/>
                <w:color w:val="000000"/>
                <w:sz w:val="40"/>
                <w:szCs w:val="22"/>
              </w:rPr>
            </w:pPr>
          </w:p>
        </w:tc>
      </w:tr>
    </w:tbl>
    <w:p w:rsidR="00383E9D" w:rsidRDefault="00383E9D" w:rsidP="00674B6E"/>
    <w:sectPr w:rsidR="00383E9D" w:rsidSect="001C220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BC" w:rsidRDefault="00D73DBC" w:rsidP="008469CE">
      <w:r>
        <w:separator/>
      </w:r>
    </w:p>
  </w:endnote>
  <w:endnote w:type="continuationSeparator" w:id="0">
    <w:p w:rsidR="00D73DBC" w:rsidRDefault="00D73DBC" w:rsidP="0084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BC" w:rsidRDefault="00D73DBC" w:rsidP="008469CE">
      <w:r>
        <w:separator/>
      </w:r>
    </w:p>
  </w:footnote>
  <w:footnote w:type="continuationSeparator" w:id="0">
    <w:p w:rsidR="00D73DBC" w:rsidRDefault="00D73DBC" w:rsidP="00846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D41A8"/>
    <w:multiLevelType w:val="hybridMultilevel"/>
    <w:tmpl w:val="F8D6E14C"/>
    <w:lvl w:ilvl="0" w:tplc="CE82E186">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065A"/>
    <w:rsid w:val="00023923"/>
    <w:rsid w:val="00026306"/>
    <w:rsid w:val="000834E9"/>
    <w:rsid w:val="0009355E"/>
    <w:rsid w:val="00102066"/>
    <w:rsid w:val="001C2206"/>
    <w:rsid w:val="001E02AF"/>
    <w:rsid w:val="00237EE3"/>
    <w:rsid w:val="0025213B"/>
    <w:rsid w:val="0028727A"/>
    <w:rsid w:val="002971F2"/>
    <w:rsid w:val="002A43E5"/>
    <w:rsid w:val="002B7835"/>
    <w:rsid w:val="00304CB0"/>
    <w:rsid w:val="003811BD"/>
    <w:rsid w:val="00383E9D"/>
    <w:rsid w:val="003E2BEB"/>
    <w:rsid w:val="00417A4D"/>
    <w:rsid w:val="004974F3"/>
    <w:rsid w:val="004C0FF2"/>
    <w:rsid w:val="005C41C2"/>
    <w:rsid w:val="005D2FF7"/>
    <w:rsid w:val="005E065A"/>
    <w:rsid w:val="005E071C"/>
    <w:rsid w:val="00664261"/>
    <w:rsid w:val="00665824"/>
    <w:rsid w:val="00674B6E"/>
    <w:rsid w:val="00685018"/>
    <w:rsid w:val="006B2707"/>
    <w:rsid w:val="006F142A"/>
    <w:rsid w:val="00735AD4"/>
    <w:rsid w:val="00744B65"/>
    <w:rsid w:val="00751D17"/>
    <w:rsid w:val="00784CCB"/>
    <w:rsid w:val="008469CE"/>
    <w:rsid w:val="00862567"/>
    <w:rsid w:val="009569A3"/>
    <w:rsid w:val="00987E0B"/>
    <w:rsid w:val="00A114C2"/>
    <w:rsid w:val="00A14819"/>
    <w:rsid w:val="00A67B70"/>
    <w:rsid w:val="00A81709"/>
    <w:rsid w:val="00B227FC"/>
    <w:rsid w:val="00BA1779"/>
    <w:rsid w:val="00BB56F8"/>
    <w:rsid w:val="00BD6F75"/>
    <w:rsid w:val="00C23F1D"/>
    <w:rsid w:val="00C70A7F"/>
    <w:rsid w:val="00CD3EBB"/>
    <w:rsid w:val="00D02D46"/>
    <w:rsid w:val="00D73DBC"/>
    <w:rsid w:val="00DB3B31"/>
    <w:rsid w:val="00DB4F6E"/>
    <w:rsid w:val="00E843DE"/>
    <w:rsid w:val="00F61944"/>
    <w:rsid w:val="00FC1A5B"/>
    <w:rsid w:val="00FC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strokecolor="none"/>
    </o:shapedefaults>
    <o:shapelayout v:ext="edit">
      <o:idmap v:ext="edit" data="1"/>
    </o:shapelayout>
  </w:shapeDefaults>
  <w:decimalSymbol w:val="."/>
  <w:listSeparator w:val=","/>
  <w15:docId w15:val="{39468735-61CE-4FAF-9EC8-2EAF10AA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9CE"/>
    <w:pPr>
      <w:tabs>
        <w:tab w:val="center" w:pos="4252"/>
        <w:tab w:val="right" w:pos="8504"/>
      </w:tabs>
      <w:snapToGrid w:val="0"/>
    </w:pPr>
  </w:style>
  <w:style w:type="character" w:customStyle="1" w:styleId="a4">
    <w:name w:val="ヘッダー (文字)"/>
    <w:basedOn w:val="a0"/>
    <w:link w:val="a3"/>
    <w:uiPriority w:val="99"/>
    <w:rsid w:val="008469CE"/>
  </w:style>
  <w:style w:type="paragraph" w:styleId="a5">
    <w:name w:val="footer"/>
    <w:basedOn w:val="a"/>
    <w:link w:val="a6"/>
    <w:uiPriority w:val="99"/>
    <w:unhideWhenUsed/>
    <w:rsid w:val="008469CE"/>
    <w:pPr>
      <w:tabs>
        <w:tab w:val="center" w:pos="4252"/>
        <w:tab w:val="right" w:pos="8504"/>
      </w:tabs>
      <w:snapToGrid w:val="0"/>
    </w:pPr>
  </w:style>
  <w:style w:type="character" w:customStyle="1" w:styleId="a6">
    <w:name w:val="フッター (文字)"/>
    <w:basedOn w:val="a0"/>
    <w:link w:val="a5"/>
    <w:uiPriority w:val="99"/>
    <w:rsid w:val="008469CE"/>
  </w:style>
  <w:style w:type="table" w:styleId="a7">
    <w:name w:val="Table Grid"/>
    <w:basedOn w:val="a1"/>
    <w:uiPriority w:val="59"/>
    <w:rsid w:val="004C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7A4D"/>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B227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7FC"/>
    <w:rPr>
      <w:rFonts w:asciiTheme="majorHAnsi" w:eastAsiaTheme="majorEastAsia" w:hAnsiTheme="majorHAnsi" w:cstheme="majorBidi"/>
      <w:sz w:val="18"/>
      <w:szCs w:val="18"/>
    </w:rPr>
  </w:style>
  <w:style w:type="paragraph" w:styleId="Web">
    <w:name w:val="Normal (Web)"/>
    <w:basedOn w:val="a"/>
    <w:uiPriority w:val="99"/>
    <w:unhideWhenUsed/>
    <w:rsid w:val="00383E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0A3F-0C5D-4EB6-9E40-991DA661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011068</dc:creator>
  <cp:lastModifiedBy>軽井沢町</cp:lastModifiedBy>
  <cp:revision>37</cp:revision>
  <cp:lastPrinted>2017-10-23T07:50:00Z</cp:lastPrinted>
  <dcterms:created xsi:type="dcterms:W3CDTF">2016-11-30T05:48:00Z</dcterms:created>
  <dcterms:modified xsi:type="dcterms:W3CDTF">2024-11-12T04:57:00Z</dcterms:modified>
</cp:coreProperties>
</file>